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Default="009B0BB0" w:rsidP="00DC2A47">
      <w:pPr>
        <w:jc w:val="both"/>
        <w:rPr>
          <w:sz w:val="28"/>
          <w:szCs w:val="28"/>
        </w:rPr>
      </w:pPr>
    </w:p>
    <w:p w:rsidR="009B0BB0" w:rsidRPr="009B0BB0" w:rsidRDefault="009B0BB0" w:rsidP="00DC2A47">
      <w:pPr>
        <w:jc w:val="both"/>
        <w:rPr>
          <w:b/>
          <w:sz w:val="28"/>
          <w:szCs w:val="28"/>
        </w:rPr>
      </w:pPr>
    </w:p>
    <w:p w:rsidR="009B0BB0" w:rsidRPr="009B0BB0" w:rsidRDefault="009B0BB0" w:rsidP="00DC2A47">
      <w:pPr>
        <w:jc w:val="both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  <w:r w:rsidRPr="009B0BB0">
        <w:rPr>
          <w:b/>
          <w:sz w:val="28"/>
          <w:szCs w:val="28"/>
        </w:rPr>
        <w:t xml:space="preserve">PARTE SPECIALE </w:t>
      </w:r>
      <w:r w:rsidR="00A77779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“</w:t>
      </w:r>
      <w:r w:rsidR="00A77779">
        <w:rPr>
          <w:b/>
          <w:sz w:val="28"/>
          <w:szCs w:val="28"/>
        </w:rPr>
        <w:t xml:space="preserve">ABUSO </w:t>
      </w:r>
      <w:proofErr w:type="spellStart"/>
      <w:r w:rsidR="00A77779">
        <w:rPr>
          <w:b/>
          <w:sz w:val="28"/>
          <w:szCs w:val="28"/>
        </w:rPr>
        <w:t>DI</w:t>
      </w:r>
      <w:proofErr w:type="spellEnd"/>
      <w:r w:rsidR="00A77779">
        <w:rPr>
          <w:b/>
          <w:sz w:val="28"/>
          <w:szCs w:val="28"/>
        </w:rPr>
        <w:t xml:space="preserve"> MERCATO</w:t>
      </w:r>
      <w:r>
        <w:rPr>
          <w:b/>
          <w:sz w:val="28"/>
          <w:szCs w:val="28"/>
        </w:rPr>
        <w:t>”</w:t>
      </w: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Default="009B0BB0" w:rsidP="009B0BB0">
      <w:pPr>
        <w:jc w:val="right"/>
        <w:rPr>
          <w:b/>
          <w:sz w:val="28"/>
          <w:szCs w:val="28"/>
        </w:rPr>
      </w:pPr>
    </w:p>
    <w:p w:rsidR="009B0BB0" w:rsidRPr="00594B66" w:rsidRDefault="00594B66" w:rsidP="00012014">
      <w:pPr>
        <w:pStyle w:val="Paragrafoelenco"/>
        <w:numPr>
          <w:ilvl w:val="0"/>
          <w:numId w:val="1"/>
        </w:numPr>
        <w:ind w:left="0" w:firstLine="0"/>
        <w:jc w:val="both"/>
        <w:rPr>
          <w:b/>
          <w:sz w:val="28"/>
          <w:szCs w:val="28"/>
        </w:rPr>
      </w:pPr>
      <w:r w:rsidRPr="00594B66">
        <w:rPr>
          <w:b/>
          <w:sz w:val="28"/>
          <w:szCs w:val="28"/>
        </w:rPr>
        <w:lastRenderedPageBreak/>
        <w:t xml:space="preserve">DESTINATARI DELLA “PARTE SPECIALE </w:t>
      </w:r>
      <w:r w:rsidR="00A77779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”</w:t>
      </w:r>
    </w:p>
    <w:p w:rsidR="00594B66" w:rsidRPr="00594B66" w:rsidRDefault="00594B66" w:rsidP="00594B66">
      <w:pPr>
        <w:jc w:val="both"/>
        <w:rPr>
          <w:sz w:val="28"/>
          <w:szCs w:val="28"/>
        </w:rPr>
      </w:pPr>
      <w:r w:rsidRPr="00594B66">
        <w:rPr>
          <w:sz w:val="28"/>
          <w:szCs w:val="28"/>
        </w:rPr>
        <w:t xml:space="preserve">La Parte Speciale concerne i comportamenti posti in essere da amministratori, dirigenti ed eventuali dipendenti di </w:t>
      </w:r>
      <w:proofErr w:type="spellStart"/>
      <w:r w:rsidRPr="00594B66">
        <w:rPr>
          <w:sz w:val="28"/>
          <w:szCs w:val="28"/>
        </w:rPr>
        <w:t>E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G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U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A</w:t>
      </w:r>
      <w:r w:rsidR="008541A1">
        <w:rPr>
          <w:sz w:val="28"/>
          <w:szCs w:val="28"/>
        </w:rPr>
        <w:t>.</w:t>
      </w:r>
      <w:proofErr w:type="spellEnd"/>
      <w:r w:rsidRPr="00594B66">
        <w:rPr>
          <w:sz w:val="28"/>
          <w:szCs w:val="28"/>
        </w:rPr>
        <w:t xml:space="preserve">, nonché dai suoi consulenti e partner. Finalità della Parte Speciale è che tutti i destinatari adottino regole di condotta conformi a quanto prescritto dal </w:t>
      </w:r>
      <w:proofErr w:type="spellStart"/>
      <w:r w:rsidRPr="00594B66">
        <w:rPr>
          <w:sz w:val="28"/>
          <w:szCs w:val="28"/>
        </w:rPr>
        <w:t>D.Lgs.</w:t>
      </w:r>
      <w:proofErr w:type="spellEnd"/>
      <w:r w:rsidRPr="00594B66">
        <w:rPr>
          <w:sz w:val="28"/>
          <w:szCs w:val="28"/>
        </w:rPr>
        <w:t xml:space="preserve"> 231/2001 al fine di prevenire il verificarsi dei Reati oggetto di tutela. </w:t>
      </w:r>
    </w:p>
    <w:p w:rsidR="00594B66" w:rsidRPr="00594B66" w:rsidRDefault="00594B66" w:rsidP="00594B66">
      <w:pPr>
        <w:jc w:val="both"/>
        <w:rPr>
          <w:sz w:val="28"/>
          <w:szCs w:val="28"/>
        </w:rPr>
      </w:pPr>
      <w:r w:rsidRPr="00594B66">
        <w:rPr>
          <w:sz w:val="28"/>
          <w:szCs w:val="28"/>
        </w:rPr>
        <w:t>Nello specifico, la presente Parte Speciale ha lo scopo di:</w:t>
      </w:r>
    </w:p>
    <w:p w:rsidR="00594B66" w:rsidRPr="00594B66" w:rsidRDefault="00594B66" w:rsidP="00594B66">
      <w:pPr>
        <w:jc w:val="both"/>
        <w:rPr>
          <w:sz w:val="28"/>
          <w:szCs w:val="28"/>
        </w:rPr>
      </w:pPr>
      <w:r w:rsidRPr="00594B66">
        <w:rPr>
          <w:sz w:val="28"/>
          <w:szCs w:val="28"/>
        </w:rPr>
        <w:t xml:space="preserve">a) fornire le “regole di comportamento” e le procedure che gli amministratori, i dirigenti ed i dipendenti, nonché i consulenti e partner di </w:t>
      </w:r>
      <w:proofErr w:type="spellStart"/>
      <w:r w:rsidRPr="00594B66">
        <w:rPr>
          <w:sz w:val="28"/>
          <w:szCs w:val="28"/>
        </w:rPr>
        <w:t>E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G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U</w:t>
      </w:r>
      <w:r w:rsidR="008541A1">
        <w:rPr>
          <w:sz w:val="28"/>
          <w:szCs w:val="28"/>
        </w:rPr>
        <w:t>.</w:t>
      </w:r>
      <w:r w:rsidRPr="00594B66">
        <w:rPr>
          <w:sz w:val="28"/>
          <w:szCs w:val="28"/>
        </w:rPr>
        <w:t>A</w:t>
      </w:r>
      <w:r w:rsidR="008541A1">
        <w:rPr>
          <w:sz w:val="28"/>
          <w:szCs w:val="28"/>
        </w:rPr>
        <w:t>.</w:t>
      </w:r>
      <w:proofErr w:type="spellEnd"/>
      <w:r w:rsidRPr="00594B66">
        <w:rPr>
          <w:sz w:val="28"/>
          <w:szCs w:val="28"/>
        </w:rPr>
        <w:t xml:space="preserve"> sono tenuti ad osservare ai fini della corretta applicazione del Modello; </w:t>
      </w:r>
    </w:p>
    <w:p w:rsidR="009B0BB0" w:rsidRDefault="008541A1" w:rsidP="00594B66">
      <w:pPr>
        <w:jc w:val="both"/>
        <w:rPr>
          <w:sz w:val="28"/>
          <w:szCs w:val="28"/>
        </w:rPr>
      </w:pPr>
      <w:r>
        <w:rPr>
          <w:sz w:val="28"/>
          <w:szCs w:val="28"/>
        </w:rPr>
        <w:t>b) fornire all’</w:t>
      </w:r>
      <w:proofErr w:type="spellStart"/>
      <w:r>
        <w:rPr>
          <w:sz w:val="28"/>
          <w:szCs w:val="28"/>
        </w:rPr>
        <w:t>Od</w:t>
      </w:r>
      <w:r w:rsidR="00594B66" w:rsidRPr="00594B66">
        <w:rPr>
          <w:sz w:val="28"/>
          <w:szCs w:val="28"/>
        </w:rPr>
        <w:t>V</w:t>
      </w:r>
      <w:proofErr w:type="spellEnd"/>
      <w:r w:rsidR="00594B66" w:rsidRPr="00594B66">
        <w:rPr>
          <w:sz w:val="28"/>
          <w:szCs w:val="28"/>
        </w:rPr>
        <w:t>, e ai responsabili delle altre funzioni aziendali che cooperano con il medesimo, gli strumenti esecutivi per esercitare le attività di controllo, monitoraggio e verifica.</w:t>
      </w:r>
    </w:p>
    <w:p w:rsidR="00A77779" w:rsidRDefault="00A77779" w:rsidP="00594B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</w:r>
      <w:r w:rsidRPr="00A77779">
        <w:rPr>
          <w:b/>
          <w:sz w:val="28"/>
          <w:szCs w:val="28"/>
        </w:rPr>
        <w:t xml:space="preserve">I REATI </w:t>
      </w:r>
      <w:proofErr w:type="spellStart"/>
      <w:r w:rsidRPr="00A77779">
        <w:rPr>
          <w:b/>
          <w:sz w:val="28"/>
          <w:szCs w:val="28"/>
        </w:rPr>
        <w:t>DI</w:t>
      </w:r>
      <w:proofErr w:type="spellEnd"/>
      <w:r w:rsidRPr="00A77779">
        <w:rPr>
          <w:b/>
          <w:sz w:val="28"/>
          <w:szCs w:val="28"/>
        </w:rPr>
        <w:t xml:space="preserve"> ABUSO </w:t>
      </w:r>
      <w:proofErr w:type="spellStart"/>
      <w:r w:rsidRPr="00A77779">
        <w:rPr>
          <w:b/>
          <w:sz w:val="28"/>
          <w:szCs w:val="28"/>
        </w:rPr>
        <w:t>DI</w:t>
      </w:r>
      <w:proofErr w:type="spellEnd"/>
      <w:r w:rsidRPr="00A77779">
        <w:rPr>
          <w:b/>
          <w:sz w:val="28"/>
          <w:szCs w:val="28"/>
        </w:rPr>
        <w:t xml:space="preserve"> MERCATO (ART. 25 SEXIES DEL </w:t>
      </w:r>
      <w:proofErr w:type="spellStart"/>
      <w:r w:rsidRPr="00A77779">
        <w:rPr>
          <w:b/>
          <w:sz w:val="28"/>
          <w:szCs w:val="28"/>
        </w:rPr>
        <w:t>D.LGS.</w:t>
      </w:r>
      <w:proofErr w:type="spellEnd"/>
      <w:r w:rsidRPr="00A77779">
        <w:rPr>
          <w:b/>
          <w:sz w:val="28"/>
          <w:szCs w:val="28"/>
        </w:rPr>
        <w:t xml:space="preserve"> 231/2001 E 187 QUINQUIES DEL </w:t>
      </w:r>
      <w:proofErr w:type="spellStart"/>
      <w:r w:rsidRPr="00A77779">
        <w:rPr>
          <w:b/>
          <w:sz w:val="28"/>
          <w:szCs w:val="28"/>
        </w:rPr>
        <w:t>D.LGS.</w:t>
      </w:r>
      <w:proofErr w:type="spellEnd"/>
      <w:r w:rsidRPr="00A77779">
        <w:rPr>
          <w:b/>
          <w:sz w:val="28"/>
          <w:szCs w:val="28"/>
        </w:rPr>
        <w:t xml:space="preserve"> 58/1998) </w:t>
      </w:r>
    </w:p>
    <w:p w:rsidR="00A77779" w:rsidRPr="00A77779" w:rsidRDefault="00A77779" w:rsidP="00A77779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La “Parte Speciale </w:t>
      </w:r>
      <w:r>
        <w:rPr>
          <w:sz w:val="28"/>
          <w:szCs w:val="28"/>
        </w:rPr>
        <w:t>C</w:t>
      </w:r>
      <w:r w:rsidRPr="00A77779">
        <w:rPr>
          <w:sz w:val="28"/>
          <w:szCs w:val="28"/>
        </w:rPr>
        <w:t>” riguarda i reati e gli illeciti amministrativi di abuso di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mercato.</w:t>
      </w:r>
    </w:p>
    <w:p w:rsidR="00A77779" w:rsidRPr="00A77779" w:rsidRDefault="00A77779" w:rsidP="00A77779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In tema di disciplina degli illeciti penali ed amministrativi delle società per i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reati di abuso di mercato sono </w:t>
      </w:r>
      <w:proofErr w:type="spellStart"/>
      <w:r w:rsidRPr="00A77779">
        <w:rPr>
          <w:sz w:val="28"/>
          <w:szCs w:val="28"/>
        </w:rPr>
        <w:t>discipliante</w:t>
      </w:r>
      <w:proofErr w:type="spellEnd"/>
      <w:r w:rsidRPr="00A77779">
        <w:rPr>
          <w:sz w:val="28"/>
          <w:szCs w:val="28"/>
        </w:rPr>
        <w:t xml:space="preserve"> dalla Legge n. 62 del 18 aprile 2005 che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ha inserito nel </w:t>
      </w:r>
      <w:proofErr w:type="spellStart"/>
      <w:r w:rsidRPr="00A77779">
        <w:rPr>
          <w:sz w:val="28"/>
          <w:szCs w:val="28"/>
        </w:rPr>
        <w:t>D.Lgs</w:t>
      </w:r>
      <w:proofErr w:type="spellEnd"/>
      <w:r w:rsidRPr="00A77779">
        <w:rPr>
          <w:sz w:val="28"/>
          <w:szCs w:val="28"/>
        </w:rPr>
        <w:t xml:space="preserve"> 231/2001 l'art. 25-sexies e dall’art. 187 </w:t>
      </w:r>
      <w:proofErr w:type="spellStart"/>
      <w:r w:rsidRPr="00A77779">
        <w:rPr>
          <w:sz w:val="28"/>
          <w:szCs w:val="28"/>
        </w:rPr>
        <w:t>quinquies</w:t>
      </w:r>
      <w:proofErr w:type="spellEnd"/>
      <w:r w:rsidRPr="00A77779">
        <w:rPr>
          <w:sz w:val="28"/>
          <w:szCs w:val="28"/>
        </w:rPr>
        <w:t xml:space="preserve"> del </w:t>
      </w:r>
      <w:proofErr w:type="spellStart"/>
      <w:r w:rsidRPr="00A77779">
        <w:rPr>
          <w:sz w:val="28"/>
          <w:szCs w:val="28"/>
        </w:rPr>
        <w:t>D.Lgs.</w:t>
      </w:r>
      <w:proofErr w:type="spellEnd"/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58/1998 (cd. “Legge Draghi”).</w:t>
      </w:r>
    </w:p>
    <w:p w:rsidR="00A77779" w:rsidRDefault="00A77779" w:rsidP="00A77779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Ne consegue che, per le fattispecie di reato di seguito descritte, “se commessi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nell’interesse della società, da amministratori, direttori generali o liquidatori o da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persone sottoposte alla loro vigilanza, qualora il fatto non si fosse realizzato se essi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avessero vigilato in conformità agli obblighi inerenti alla loro carica”, trova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applicazione il sistema sanzionatorio di carattere pecuniario, qualora sia rilevata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l’inesistenza del “Modello di organizzazione, gestione e controllo” ed il mancato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rispetto degli obblighi di vigilanza. </w:t>
      </w:r>
    </w:p>
    <w:p w:rsidR="00A77779" w:rsidRPr="00A77779" w:rsidRDefault="00A77779" w:rsidP="00A77779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Le modalità di attuazione sono da ricercarsi sia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attraverso specifiche misure organizzative e procedurali atte a fornire, con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ragionevolezza, garanzie di prevenzione dei predetti reati sia attraverso una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puntuale definizione dei compiti </w:t>
      </w:r>
      <w:r w:rsidRPr="00A77779">
        <w:rPr>
          <w:sz w:val="28"/>
          <w:szCs w:val="28"/>
        </w:rPr>
        <w:lastRenderedPageBreak/>
        <w:t>dell’organismo di vigilanza affinché assicuri, nella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sua continuità, l’effettivo ed efficace funzionamento del citato Modello.</w:t>
      </w:r>
    </w:p>
    <w:p w:rsidR="00A77779" w:rsidRPr="00A77779" w:rsidRDefault="00A77779" w:rsidP="00A77779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Il concetto di informazione privilegiata rappresenta il fulcro attorno al quale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ruota l’intera disciplina dei reati di market </w:t>
      </w:r>
      <w:proofErr w:type="spellStart"/>
      <w:r w:rsidRPr="00A77779">
        <w:rPr>
          <w:sz w:val="28"/>
          <w:szCs w:val="28"/>
        </w:rPr>
        <w:t>abuse</w:t>
      </w:r>
      <w:proofErr w:type="spellEnd"/>
      <w:r w:rsidRPr="00A77779">
        <w:rPr>
          <w:sz w:val="28"/>
          <w:szCs w:val="28"/>
        </w:rPr>
        <w:t xml:space="preserve"> pertanto si rileva che, secondo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quanto previsto dall’art. 181 del TUF, è da considerarsi “privilegiata” l'informazione</w:t>
      </w:r>
      <w:r>
        <w:rPr>
          <w:sz w:val="28"/>
          <w:szCs w:val="28"/>
        </w:rPr>
        <w:t>:</w:t>
      </w:r>
    </w:p>
    <w:p w:rsidR="00A77779" w:rsidRPr="00A77779" w:rsidRDefault="00A77779" w:rsidP="00012014">
      <w:pPr>
        <w:pStyle w:val="Paragrafoelenco"/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di carattere preciso, ovvero una informazione inerente a circostanze o eventi esistenti o verificatisi o a circostanze o eventi che ragionevolmente possa prevedersi che verranno ad esistenza o che si verificheranno; deve inoltre trattarsi di informazione sufficientemente esplicita e dettagliata, in modo che chi la impiega sia posto in condizione di ritenere che dall'uso potranno effettivamente verificarsi determinati effetti sul prezzo degli strumenti finanziari;</w:t>
      </w:r>
    </w:p>
    <w:p w:rsidR="00A77779" w:rsidRPr="00A77779" w:rsidRDefault="00A77779" w:rsidP="00012014">
      <w:pPr>
        <w:pStyle w:val="Paragrafoelenco"/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non ancora resa pubblica: ovvero una informazione non ancora resa disponibile al mercato, per esempio tramite pubblicazione su siti internet o su quotidiani o tramite comunicazioni effettuate ad Autorità di Vigilanza;</w:t>
      </w:r>
    </w:p>
    <w:p w:rsidR="00A77779" w:rsidRPr="00A77779" w:rsidRDefault="00A77779" w:rsidP="00012014">
      <w:pPr>
        <w:pStyle w:val="Paragrafoelenco"/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concernente, direttamente o indirettamente, uno o più emittenti strumenti finanziari o uno o più strumenti finanziari; la cosiddetta “corporate information”, e cioè una informazione relativa alla situazione economica patrimoniale o a vicende organizzative dell’emittente o una cosiddetta “market information”, ovvero una informazione relativa alle vicende di uno o più strumenti finanziari;</w:t>
      </w:r>
    </w:p>
    <w:p w:rsidR="00A77779" w:rsidRPr="00A77779" w:rsidRDefault="00A77779" w:rsidP="00012014">
      <w:pPr>
        <w:pStyle w:val="Paragrafoelenco"/>
        <w:numPr>
          <w:ilvl w:val="0"/>
          <w:numId w:val="2"/>
        </w:num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che se resa pubblica potrebbe influire in modo sensibile sui prezzi di tali strumenti finanziari; ovvero una informazione che presumibilmente un investitore ragionevole per tale intendendosi un investitore-medio  utilizzerebbe come uno degli elementi sui quali fondare le proprie decisioni di investimento.</w:t>
      </w:r>
    </w:p>
    <w:p w:rsidR="00A77779" w:rsidRPr="00A77779" w:rsidRDefault="00A77779" w:rsidP="00A77779">
      <w:pPr>
        <w:jc w:val="both"/>
        <w:rPr>
          <w:sz w:val="28"/>
          <w:szCs w:val="28"/>
        </w:rPr>
      </w:pPr>
      <w:r w:rsidRPr="00A77779">
        <w:rPr>
          <w:sz w:val="28"/>
          <w:szCs w:val="28"/>
        </w:rPr>
        <w:t>In particolare, i reati che rilevano ai fini delle sanzioni di cui trattasi sono</w:t>
      </w:r>
      <w:r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riconducibili a:</w:t>
      </w:r>
    </w:p>
    <w:p w:rsidR="00A77779" w:rsidRPr="00A77779" w:rsidRDefault="00A77779" w:rsidP="00012014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reati richiamati dall’art 25 </w:t>
      </w:r>
      <w:proofErr w:type="spellStart"/>
      <w:r w:rsidRPr="00A77779">
        <w:rPr>
          <w:sz w:val="28"/>
          <w:szCs w:val="28"/>
        </w:rPr>
        <w:t>sexies</w:t>
      </w:r>
      <w:proofErr w:type="spellEnd"/>
      <w:r w:rsidRPr="00A77779">
        <w:rPr>
          <w:sz w:val="28"/>
          <w:szCs w:val="28"/>
        </w:rPr>
        <w:t xml:space="preserve"> del </w:t>
      </w:r>
      <w:proofErr w:type="spellStart"/>
      <w:r w:rsidRPr="00A77779">
        <w:rPr>
          <w:sz w:val="28"/>
          <w:szCs w:val="28"/>
        </w:rPr>
        <w:t>D.Lgs.</w:t>
      </w:r>
      <w:proofErr w:type="spellEnd"/>
      <w:r w:rsidRPr="00A77779">
        <w:rPr>
          <w:sz w:val="28"/>
          <w:szCs w:val="28"/>
        </w:rPr>
        <w:t xml:space="preserve"> 231/2001 </w:t>
      </w:r>
    </w:p>
    <w:p w:rsidR="00A77779" w:rsidRPr="00A77779" w:rsidRDefault="00A77779" w:rsidP="00012014">
      <w:pPr>
        <w:pStyle w:val="Paragrafoelenco"/>
        <w:numPr>
          <w:ilvl w:val="1"/>
          <w:numId w:val="4"/>
        </w:numPr>
        <w:ind w:hanging="11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abuso di informazioni privilegiate (art. 184 TUF e 187 bis TUF);</w:t>
      </w:r>
    </w:p>
    <w:p w:rsidR="00A77779" w:rsidRPr="00A77779" w:rsidRDefault="00A77779" w:rsidP="00012014">
      <w:pPr>
        <w:pStyle w:val="Paragrafoelenco"/>
        <w:numPr>
          <w:ilvl w:val="1"/>
          <w:numId w:val="4"/>
        </w:numPr>
        <w:ind w:hanging="11"/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manipolazione del mercato (art. 185 TUF e 187 </w:t>
      </w:r>
      <w:proofErr w:type="spellStart"/>
      <w:r w:rsidRPr="00A77779">
        <w:rPr>
          <w:sz w:val="28"/>
          <w:szCs w:val="28"/>
        </w:rPr>
        <w:t>ter</w:t>
      </w:r>
      <w:proofErr w:type="spellEnd"/>
      <w:r w:rsidRPr="00A77779">
        <w:rPr>
          <w:sz w:val="28"/>
          <w:szCs w:val="28"/>
        </w:rPr>
        <w:t xml:space="preserve"> TUF);</w:t>
      </w:r>
    </w:p>
    <w:p w:rsidR="00A77779" w:rsidRPr="00A77779" w:rsidRDefault="00A77779" w:rsidP="00012014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 illeciti amministrativi richiamati dall’art 187 </w:t>
      </w:r>
      <w:proofErr w:type="spellStart"/>
      <w:r w:rsidRPr="00A77779">
        <w:rPr>
          <w:sz w:val="28"/>
          <w:szCs w:val="28"/>
        </w:rPr>
        <w:t>quinquies</w:t>
      </w:r>
      <w:proofErr w:type="spellEnd"/>
      <w:r w:rsidRPr="00A77779">
        <w:rPr>
          <w:sz w:val="28"/>
          <w:szCs w:val="28"/>
        </w:rPr>
        <w:t xml:space="preserve"> del </w:t>
      </w:r>
      <w:proofErr w:type="spellStart"/>
      <w:r w:rsidRPr="00A77779">
        <w:rPr>
          <w:sz w:val="28"/>
          <w:szCs w:val="28"/>
        </w:rPr>
        <w:t>D.Lgs.</w:t>
      </w:r>
      <w:proofErr w:type="spellEnd"/>
      <w:r w:rsidRPr="00A77779">
        <w:rPr>
          <w:sz w:val="28"/>
          <w:szCs w:val="28"/>
        </w:rPr>
        <w:t xml:space="preserve"> 58/1998:</w:t>
      </w:r>
    </w:p>
    <w:p w:rsidR="009D7CEF" w:rsidRDefault="009D7CEF" w:rsidP="00A77779">
      <w:pPr>
        <w:jc w:val="both"/>
        <w:rPr>
          <w:sz w:val="28"/>
          <w:szCs w:val="28"/>
        </w:rPr>
      </w:pPr>
    </w:p>
    <w:p w:rsidR="00A77779" w:rsidRPr="00A77779" w:rsidRDefault="00A77779" w:rsidP="00A77779">
      <w:pPr>
        <w:jc w:val="both"/>
        <w:rPr>
          <w:sz w:val="28"/>
          <w:szCs w:val="28"/>
        </w:rPr>
      </w:pPr>
      <w:r w:rsidRPr="00A77779">
        <w:rPr>
          <w:sz w:val="28"/>
          <w:szCs w:val="28"/>
        </w:rPr>
        <w:lastRenderedPageBreak/>
        <w:t>Di seguito, si procede all’analisi dei reati sopra riportati.</w:t>
      </w:r>
    </w:p>
    <w:p w:rsidR="00A77779" w:rsidRPr="009D7CEF" w:rsidRDefault="00A77779" w:rsidP="00012014">
      <w:pPr>
        <w:pStyle w:val="Paragrafoelenco"/>
        <w:numPr>
          <w:ilvl w:val="0"/>
          <w:numId w:val="5"/>
        </w:numPr>
        <w:jc w:val="both"/>
        <w:rPr>
          <w:i/>
          <w:sz w:val="28"/>
          <w:szCs w:val="28"/>
          <w:u w:val="single"/>
        </w:rPr>
      </w:pPr>
      <w:r w:rsidRPr="009D7CEF">
        <w:rPr>
          <w:sz w:val="28"/>
          <w:szCs w:val="28"/>
        </w:rPr>
        <w:t xml:space="preserve"> </w:t>
      </w:r>
      <w:r w:rsidRPr="009D7CEF">
        <w:rPr>
          <w:i/>
          <w:sz w:val="28"/>
          <w:szCs w:val="28"/>
          <w:u w:val="single"/>
        </w:rPr>
        <w:t>Abuso di informazioni privilegiate (art. 184 TUF e 187 bis TUF);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La fattispecie punisce chiunque, essendo direttamente entrato in possesso di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informazioni privilegiate per essere membro di organi amministrativi, di direzione 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di controllo di una società emittente, oppure per essere socio, ovvero per averla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appresa nel corso e a causa di un’attività lavorativa privata o pubblica:</w:t>
      </w:r>
    </w:p>
    <w:p w:rsidR="00A77779" w:rsidRPr="009D7CEF" w:rsidRDefault="00A77779" w:rsidP="00012014">
      <w:pPr>
        <w:pStyle w:val="Paragrafoelenco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acquista, vende o compie altre operazioni, direttamente o indirettamente,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per conto proprio o per conto di terzi, su strumenti finanziari utilizzando le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informazioni privilegiate acquisite nelle modalità sopra descritte;</w:t>
      </w:r>
    </w:p>
    <w:p w:rsidR="00A77779" w:rsidRPr="009D7CEF" w:rsidRDefault="00A77779" w:rsidP="00012014">
      <w:pPr>
        <w:pStyle w:val="Paragrafoelenco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comunica tali informazioni ad altri, al di fuori del normale esercizio del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lavoro, della professione, della funzione o dell’ufficio cui si è preposti (a prescindere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dalla circostanza che i terzi destinatari utilizzino effettivamente l’informazione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comunicata per compiere operazioni);</w:t>
      </w:r>
    </w:p>
    <w:p w:rsidR="00A77779" w:rsidRPr="009D7CEF" w:rsidRDefault="00A77779" w:rsidP="00012014">
      <w:pPr>
        <w:pStyle w:val="Paragrafoelenco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raccomanda o induce altri, sulla base delle conoscenze ricavate dalle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informazioni privilegiate delle quali è in possesso, a compiere taluna delle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operazioni indicate nella lettera a).</w:t>
      </w:r>
    </w:p>
    <w:p w:rsidR="00A77779" w:rsidRPr="00A77779" w:rsidRDefault="00A77779" w:rsidP="00A77779">
      <w:pPr>
        <w:jc w:val="both"/>
        <w:rPr>
          <w:sz w:val="28"/>
          <w:szCs w:val="28"/>
        </w:rPr>
      </w:pPr>
      <w:r w:rsidRPr="00A77779">
        <w:rPr>
          <w:sz w:val="28"/>
          <w:szCs w:val="28"/>
        </w:rPr>
        <w:t>La fattispecie punisce, inoltre, i soggetti che, entrando in possesso di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informazioni privilegiate a causa della preparazione o della realizzazione di attività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delittuose, compiono taluna delle azioni di cui sopra (è il caso ad esempio del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“pirata informatico” che a seguito dell’accesso abusivo al sistema informatizzato di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una società riesce ad entrare in possesso di informazioni riservate “price sensitive”).</w:t>
      </w:r>
    </w:p>
    <w:p w:rsidR="00A77779" w:rsidRPr="00A77779" w:rsidRDefault="00A77779" w:rsidP="00A77779">
      <w:pPr>
        <w:jc w:val="both"/>
        <w:rPr>
          <w:sz w:val="28"/>
          <w:szCs w:val="28"/>
        </w:rPr>
      </w:pPr>
      <w:r w:rsidRPr="00A77779">
        <w:rPr>
          <w:sz w:val="28"/>
          <w:szCs w:val="28"/>
        </w:rPr>
        <w:t>La fattispecie di cui all’art. 187 bis TUF punisce con una sanzione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amministrativa sia le condotte realizzabili dagli </w:t>
      </w:r>
      <w:proofErr w:type="spellStart"/>
      <w:r w:rsidRPr="00A77779">
        <w:rPr>
          <w:sz w:val="28"/>
          <w:szCs w:val="28"/>
        </w:rPr>
        <w:t>insiders</w:t>
      </w:r>
      <w:proofErr w:type="spellEnd"/>
      <w:r w:rsidRPr="00A77779">
        <w:rPr>
          <w:sz w:val="28"/>
          <w:szCs w:val="28"/>
        </w:rPr>
        <w:t xml:space="preserve"> primari già punite come reato dall’art. 184 TUF (chiunque essendo in possesso di informazioni privilegiate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in ragione della sua qualità di membro di organi di amministrazione, direzione 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controllo dell’emittente, della partecipazione al capitale dell’emittente, ovvero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dell’esercizio di un’attività lavorativa, di una professione o di una funzione, anche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pubblica, o di un ufficio), sia quelle realizzate dagli </w:t>
      </w:r>
      <w:proofErr w:type="spellStart"/>
      <w:r w:rsidRPr="00A77779">
        <w:rPr>
          <w:sz w:val="28"/>
          <w:szCs w:val="28"/>
        </w:rPr>
        <w:t>insiders</w:t>
      </w:r>
      <w:proofErr w:type="spellEnd"/>
      <w:r w:rsidRPr="00A77779">
        <w:rPr>
          <w:sz w:val="28"/>
          <w:szCs w:val="28"/>
        </w:rPr>
        <w:t xml:space="preserve"> secondari (cioè coloro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che direttamente o indirettamente abbiano ottenuto dagli </w:t>
      </w:r>
      <w:proofErr w:type="spellStart"/>
      <w:r w:rsidRPr="00A77779">
        <w:rPr>
          <w:sz w:val="28"/>
          <w:szCs w:val="28"/>
        </w:rPr>
        <w:t>insiders</w:t>
      </w:r>
      <w:proofErr w:type="spellEnd"/>
      <w:r w:rsidRPr="00A77779">
        <w:rPr>
          <w:sz w:val="28"/>
          <w:szCs w:val="28"/>
        </w:rPr>
        <w:t xml:space="preserve"> primari accesso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all’informazione privilegiata), laddove la corrispondente fattispecie delittuosa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attribuisce rilevanza esclusivamente alle condotte poste in essere dagli </w:t>
      </w:r>
      <w:proofErr w:type="spellStart"/>
      <w:r w:rsidRPr="00A77779">
        <w:rPr>
          <w:sz w:val="28"/>
          <w:szCs w:val="28"/>
        </w:rPr>
        <w:t>insiders</w:t>
      </w:r>
      <w:proofErr w:type="spellEnd"/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primari.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lastRenderedPageBreak/>
        <w:t xml:space="preserve">L’unica differenza consiste nel fatto che i comportamenti degli </w:t>
      </w:r>
      <w:proofErr w:type="spellStart"/>
      <w:r w:rsidRPr="00A77779">
        <w:rPr>
          <w:sz w:val="28"/>
          <w:szCs w:val="28"/>
        </w:rPr>
        <w:t>insiders</w:t>
      </w:r>
      <w:proofErr w:type="spellEnd"/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secondari sono puniti sia se sono commessi a titolo di dolo sia se commessi con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colpa (la sanzione prevista al comma 1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 dell’art. 187 bis si applica a chiunque, in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possesso di informazioni privilegiate, conoscendo o potendo conoscere in base ad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ordinaria diligenza il carattere privilegiato delle stesse, compie taluno dei fatti ivi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descritti).</w:t>
      </w:r>
    </w:p>
    <w:p w:rsidR="00A77779" w:rsidRPr="00A77779" w:rsidRDefault="00A77779" w:rsidP="00A77779">
      <w:pPr>
        <w:jc w:val="both"/>
        <w:rPr>
          <w:sz w:val="28"/>
          <w:szCs w:val="28"/>
        </w:rPr>
      </w:pPr>
      <w:r w:rsidRPr="00A77779">
        <w:rPr>
          <w:sz w:val="28"/>
          <w:szCs w:val="28"/>
        </w:rPr>
        <w:t>Si sottolinea inoltre che anche il semplice tentativo può rilevare ai fini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dell’applicabilità di tale disciplina.</w:t>
      </w:r>
    </w:p>
    <w:p w:rsidR="00A77779" w:rsidRPr="009D7CEF" w:rsidRDefault="009D7CEF" w:rsidP="00012014">
      <w:pPr>
        <w:pStyle w:val="Paragrafoelenco"/>
        <w:numPr>
          <w:ilvl w:val="0"/>
          <w:numId w:val="7"/>
        </w:numPr>
        <w:spacing w:after="120"/>
        <w:ind w:left="0" w:firstLine="0"/>
        <w:jc w:val="both"/>
        <w:rPr>
          <w:i/>
          <w:sz w:val="28"/>
          <w:szCs w:val="28"/>
          <w:u w:val="single"/>
        </w:rPr>
      </w:pPr>
      <w:r w:rsidRPr="009D7CEF">
        <w:rPr>
          <w:i/>
          <w:sz w:val="28"/>
          <w:szCs w:val="28"/>
          <w:u w:val="single"/>
        </w:rPr>
        <w:t xml:space="preserve">manipolazione del mercato (art. 185 </w:t>
      </w:r>
      <w:proofErr w:type="spellStart"/>
      <w:r w:rsidRPr="009D7CEF">
        <w:rPr>
          <w:i/>
          <w:sz w:val="28"/>
          <w:szCs w:val="28"/>
          <w:u w:val="single"/>
        </w:rPr>
        <w:t>tuf</w:t>
      </w:r>
      <w:proofErr w:type="spellEnd"/>
      <w:r w:rsidRPr="009D7CEF">
        <w:rPr>
          <w:i/>
          <w:sz w:val="28"/>
          <w:szCs w:val="28"/>
          <w:u w:val="single"/>
        </w:rPr>
        <w:t xml:space="preserve"> e art. 187 </w:t>
      </w:r>
      <w:proofErr w:type="spellStart"/>
      <w:r w:rsidRPr="009D7CEF">
        <w:rPr>
          <w:i/>
          <w:sz w:val="28"/>
          <w:szCs w:val="28"/>
          <w:u w:val="single"/>
        </w:rPr>
        <w:t>ter</w:t>
      </w:r>
      <w:proofErr w:type="spellEnd"/>
      <w:r w:rsidRPr="009D7CEF">
        <w:rPr>
          <w:i/>
          <w:sz w:val="28"/>
          <w:szCs w:val="28"/>
          <w:u w:val="single"/>
        </w:rPr>
        <w:t xml:space="preserve"> </w:t>
      </w:r>
      <w:proofErr w:type="spellStart"/>
      <w:r w:rsidRPr="009D7CEF">
        <w:rPr>
          <w:i/>
          <w:sz w:val="28"/>
          <w:szCs w:val="28"/>
          <w:u w:val="single"/>
        </w:rPr>
        <w:t>tuf</w:t>
      </w:r>
      <w:proofErr w:type="spellEnd"/>
      <w:r w:rsidRPr="009D7CEF">
        <w:rPr>
          <w:i/>
          <w:sz w:val="28"/>
          <w:szCs w:val="28"/>
          <w:u w:val="single"/>
        </w:rPr>
        <w:t>)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La fattispecie punisce chiunque diffonde notizie false (</w:t>
      </w:r>
      <w:proofErr w:type="spellStart"/>
      <w:r w:rsidRPr="00A77779">
        <w:rPr>
          <w:sz w:val="28"/>
          <w:szCs w:val="28"/>
        </w:rPr>
        <w:t>c.d</w:t>
      </w:r>
      <w:proofErr w:type="spellEnd"/>
      <w:r w:rsidRPr="00A77779">
        <w:rPr>
          <w:sz w:val="28"/>
          <w:szCs w:val="28"/>
        </w:rPr>
        <w:t xml:space="preserve"> manipolazione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informativa) o pone in essere operazioni simulate o altri artifizi concretamente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idonei a provocare una sensibile alterazione del prezzo di strumenti finanziari (c.d.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manipolazione </w:t>
      </w:r>
      <w:proofErr w:type="spellStart"/>
      <w:r w:rsidRPr="00A77779">
        <w:rPr>
          <w:sz w:val="28"/>
          <w:szCs w:val="28"/>
        </w:rPr>
        <w:t>negoziativa</w:t>
      </w:r>
      <w:proofErr w:type="spellEnd"/>
      <w:r w:rsidRPr="00A77779">
        <w:rPr>
          <w:sz w:val="28"/>
          <w:szCs w:val="28"/>
        </w:rPr>
        <w:t>).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>Con riferimento alla diffusione di informazioni false o fuorvianti, preme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ribadire che questo tipo di manipolazione del mercato comprende anche i casi in cui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la creazione di un’indicazione fuorviante derivi dall’inosservanza degli obblighi di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comunicazione da parte dell’emittente o di altri soggetti obbligati.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La fattispecie di cui all’art. 187 </w:t>
      </w:r>
      <w:proofErr w:type="spellStart"/>
      <w:r w:rsidRPr="00A77779">
        <w:rPr>
          <w:sz w:val="28"/>
          <w:szCs w:val="28"/>
        </w:rPr>
        <w:t>ter</w:t>
      </w:r>
      <w:proofErr w:type="spellEnd"/>
      <w:r w:rsidRPr="00A77779">
        <w:rPr>
          <w:sz w:val="28"/>
          <w:szCs w:val="28"/>
        </w:rPr>
        <w:t xml:space="preserve"> TUF amplia le condotte rilevanti ai fini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dell’applicabilità delle sanzioni amministrative rispetto a quelle penalmente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sanzionate dalla corrispondente fattispecie delittuosa e punisce chiunque, tramite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qualsiasi mezzo di informazione, diffonde informazioni, voci o notizie false 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fuorvianti che forniscano o siano suscettibili di fornire indicazioni false, ovvero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fuorvianti, in merito agli strumenti finanziari, a prescindere quindi dagli effetti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 xml:space="preserve">(laddove l’art. 185 TUF richiede, ai fini della </w:t>
      </w:r>
      <w:proofErr w:type="spellStart"/>
      <w:r w:rsidRPr="00A77779">
        <w:rPr>
          <w:sz w:val="28"/>
          <w:szCs w:val="28"/>
        </w:rPr>
        <w:t>sanzionabilità</w:t>
      </w:r>
      <w:proofErr w:type="spellEnd"/>
      <w:r w:rsidRPr="00A77779">
        <w:rPr>
          <w:sz w:val="28"/>
          <w:szCs w:val="28"/>
        </w:rPr>
        <w:t xml:space="preserve"> delle condotte, che le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notizie false siano “concretamente idonee” ad alterare i prezzi).</w:t>
      </w:r>
    </w:p>
    <w:p w:rsidR="00A77779" w:rsidRPr="00A77779" w:rsidRDefault="00A77779" w:rsidP="009D7CEF">
      <w:pPr>
        <w:spacing w:after="120"/>
        <w:jc w:val="both"/>
        <w:rPr>
          <w:sz w:val="28"/>
          <w:szCs w:val="28"/>
        </w:rPr>
      </w:pPr>
      <w:r w:rsidRPr="00A77779">
        <w:rPr>
          <w:sz w:val="28"/>
          <w:szCs w:val="28"/>
        </w:rPr>
        <w:t xml:space="preserve">Il comma 3 del medesimo articolo prevede la </w:t>
      </w:r>
      <w:proofErr w:type="spellStart"/>
      <w:r w:rsidRPr="00A77779">
        <w:rPr>
          <w:sz w:val="28"/>
          <w:szCs w:val="28"/>
        </w:rPr>
        <w:t>sanzionabilità</w:t>
      </w:r>
      <w:proofErr w:type="spellEnd"/>
      <w:r w:rsidRPr="00A77779">
        <w:rPr>
          <w:sz w:val="28"/>
          <w:szCs w:val="28"/>
        </w:rPr>
        <w:t xml:space="preserve"> delle seguenti</w:t>
      </w:r>
      <w:r w:rsidR="009D7CEF">
        <w:rPr>
          <w:sz w:val="28"/>
          <w:szCs w:val="28"/>
        </w:rPr>
        <w:t xml:space="preserve"> </w:t>
      </w:r>
      <w:r w:rsidRPr="00A77779">
        <w:rPr>
          <w:sz w:val="28"/>
          <w:szCs w:val="28"/>
        </w:rPr>
        <w:t>condotte:</w:t>
      </w:r>
    </w:p>
    <w:p w:rsidR="00A77779" w:rsidRPr="009D7CEF" w:rsidRDefault="00A77779" w:rsidP="00012014">
      <w:pPr>
        <w:pStyle w:val="Paragrafoelenco"/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operazioni od ordini di compravendita che forniscano o siano idonei a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fornire indicazioni false o fuorvianti in merito all’offerta, alla domanda o al prezzo di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 xml:space="preserve">strumenti finanziari; </w:t>
      </w:r>
    </w:p>
    <w:p w:rsidR="00A77779" w:rsidRPr="009D7CEF" w:rsidRDefault="00A77779" w:rsidP="00012014">
      <w:pPr>
        <w:pStyle w:val="Paragrafoelenco"/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operazioni od ordini di compravendita che consentono, tramite l’azione di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una o più persone che agiscono di concerto, di fissare il prezzo di mercato di uno o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più strumenti finanziari ad un livello anomalo o artificiale;</w:t>
      </w:r>
    </w:p>
    <w:p w:rsidR="00A77779" w:rsidRPr="009D7CEF" w:rsidRDefault="00A77779" w:rsidP="00012014">
      <w:pPr>
        <w:pStyle w:val="Paragrafoelenco"/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lastRenderedPageBreak/>
        <w:t>operazioni od ordini di compravendita che utilizzino artifizi od ogni altro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tipo di inganno o di espediente;</w:t>
      </w:r>
    </w:p>
    <w:p w:rsidR="009D7CEF" w:rsidRDefault="00A77779" w:rsidP="00012014">
      <w:pPr>
        <w:pStyle w:val="Paragrafoelenco"/>
        <w:numPr>
          <w:ilvl w:val="0"/>
          <w:numId w:val="8"/>
        </w:numPr>
        <w:spacing w:after="120"/>
        <w:jc w:val="both"/>
        <w:rPr>
          <w:sz w:val="28"/>
          <w:szCs w:val="28"/>
        </w:rPr>
      </w:pPr>
      <w:r w:rsidRPr="009D7CEF">
        <w:rPr>
          <w:sz w:val="28"/>
          <w:szCs w:val="28"/>
        </w:rPr>
        <w:t>altri artifizi idonei a fornire indicazioni false o fuorvianti in merito</w:t>
      </w:r>
      <w:r w:rsidR="009D7CEF" w:rsidRPr="009D7CEF">
        <w:rPr>
          <w:sz w:val="28"/>
          <w:szCs w:val="28"/>
        </w:rPr>
        <w:t xml:space="preserve"> </w:t>
      </w:r>
      <w:r w:rsidRPr="009D7CEF">
        <w:rPr>
          <w:sz w:val="28"/>
          <w:szCs w:val="28"/>
        </w:rPr>
        <w:t>all’offerta, alla domanda o al prezzo di strumenti finanziari.</w:t>
      </w:r>
    </w:p>
    <w:p w:rsidR="009D7CEF" w:rsidRDefault="009D7CEF" w:rsidP="009D7CEF">
      <w:pPr>
        <w:pStyle w:val="Paragrafoelenco"/>
        <w:spacing w:after="120"/>
        <w:jc w:val="both"/>
        <w:rPr>
          <w:sz w:val="28"/>
          <w:szCs w:val="28"/>
        </w:rPr>
      </w:pPr>
    </w:p>
    <w:p w:rsidR="009D7CEF" w:rsidRPr="009D7CEF" w:rsidRDefault="009D7CEF" w:rsidP="009D7CEF">
      <w:pPr>
        <w:pStyle w:val="Paragrafoelenco"/>
        <w:spacing w:after="120"/>
        <w:ind w:left="0"/>
        <w:jc w:val="both"/>
        <w:rPr>
          <w:b/>
          <w:sz w:val="28"/>
          <w:szCs w:val="28"/>
        </w:rPr>
      </w:pPr>
      <w:r w:rsidRPr="009D7CEF">
        <w:rPr>
          <w:b/>
          <w:sz w:val="28"/>
          <w:szCs w:val="28"/>
        </w:rPr>
        <w:t xml:space="preserve">3. PROCESSI “SENSIBILI” DELLA </w:t>
      </w:r>
      <w:proofErr w:type="spellStart"/>
      <w:r w:rsidR="008541A1">
        <w:rPr>
          <w:b/>
          <w:sz w:val="28"/>
          <w:szCs w:val="28"/>
        </w:rPr>
        <w:t>E.G.U.A.</w:t>
      </w:r>
      <w:proofErr w:type="spellEnd"/>
      <w:r w:rsidR="008541A1">
        <w:rPr>
          <w:b/>
          <w:sz w:val="28"/>
          <w:szCs w:val="28"/>
        </w:rPr>
        <w:t xml:space="preserve"> </w:t>
      </w:r>
      <w:proofErr w:type="spellStart"/>
      <w:r w:rsidR="008541A1">
        <w:rPr>
          <w:b/>
          <w:sz w:val="28"/>
          <w:szCs w:val="28"/>
        </w:rPr>
        <w:t>s.r.l</w:t>
      </w:r>
      <w:proofErr w:type="spellEnd"/>
      <w:r w:rsidR="008541A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.</w:t>
      </w:r>
      <w:r w:rsidRPr="009D7CEF">
        <w:rPr>
          <w:b/>
          <w:sz w:val="28"/>
          <w:szCs w:val="28"/>
        </w:rPr>
        <w:t xml:space="preserve"> NELL’AMBITO DELL’ABUSO </w:t>
      </w:r>
      <w:proofErr w:type="spellStart"/>
      <w:r w:rsidRPr="009D7CEF">
        <w:rPr>
          <w:b/>
          <w:sz w:val="28"/>
          <w:szCs w:val="28"/>
        </w:rPr>
        <w:t>DI</w:t>
      </w:r>
      <w:proofErr w:type="spellEnd"/>
      <w:r w:rsidRPr="009D7CEF">
        <w:rPr>
          <w:b/>
          <w:sz w:val="28"/>
          <w:szCs w:val="28"/>
        </w:rPr>
        <w:t xml:space="preserve"> MERCATO</w:t>
      </w:r>
    </w:p>
    <w:p w:rsidR="009D7CEF" w:rsidRPr="007A3BE5" w:rsidRDefault="009D7CEF" w:rsidP="007A3BE5">
      <w:p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I principali “processi sensibili” che </w:t>
      </w:r>
      <w:proofErr w:type="spellStart"/>
      <w:r w:rsidRPr="007A3BE5">
        <w:rPr>
          <w:sz w:val="28"/>
          <w:szCs w:val="28"/>
        </w:rPr>
        <w:t>E</w:t>
      </w:r>
      <w:r w:rsidR="008541A1">
        <w:rPr>
          <w:sz w:val="28"/>
          <w:szCs w:val="28"/>
        </w:rPr>
        <w:t>.</w:t>
      </w:r>
      <w:r w:rsidRPr="007A3BE5">
        <w:rPr>
          <w:sz w:val="28"/>
          <w:szCs w:val="28"/>
        </w:rPr>
        <w:t>G</w:t>
      </w:r>
      <w:r w:rsidR="008541A1">
        <w:rPr>
          <w:sz w:val="28"/>
          <w:szCs w:val="28"/>
        </w:rPr>
        <w:t>.</w:t>
      </w:r>
      <w:r w:rsidRPr="007A3BE5">
        <w:rPr>
          <w:sz w:val="28"/>
          <w:szCs w:val="28"/>
        </w:rPr>
        <w:t>U</w:t>
      </w:r>
      <w:r w:rsidR="008541A1">
        <w:rPr>
          <w:sz w:val="28"/>
          <w:szCs w:val="28"/>
        </w:rPr>
        <w:t>.A</w:t>
      </w:r>
      <w:proofErr w:type="spellEnd"/>
      <w:r w:rsidR="008541A1">
        <w:rPr>
          <w:sz w:val="28"/>
          <w:szCs w:val="28"/>
        </w:rPr>
        <w:t xml:space="preserve"> </w:t>
      </w:r>
      <w:proofErr w:type="spellStart"/>
      <w:r w:rsidR="008541A1">
        <w:rPr>
          <w:sz w:val="28"/>
          <w:szCs w:val="28"/>
        </w:rPr>
        <w:t>s.r.l</w:t>
      </w:r>
      <w:proofErr w:type="spellEnd"/>
      <w:r w:rsidR="008541A1">
        <w:rPr>
          <w:sz w:val="28"/>
          <w:szCs w:val="28"/>
        </w:rPr>
        <w:t>.</w:t>
      </w:r>
      <w:r w:rsidRPr="007A3BE5">
        <w:rPr>
          <w:sz w:val="28"/>
          <w:szCs w:val="28"/>
        </w:rPr>
        <w:t xml:space="preserve">. ha individuato al proprio interno sono i seguenti: </w:t>
      </w:r>
    </w:p>
    <w:p w:rsidR="009D7CEF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mutamenti nella compagine societaria o negli accordi sul controllo; </w:t>
      </w:r>
    </w:p>
    <w:p w:rsidR="009D7CEF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operazioni sul capitale, </w:t>
      </w:r>
    </w:p>
    <w:p w:rsidR="009D7CEF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cambiamenti </w:t>
      </w:r>
      <w:r w:rsidR="008541A1">
        <w:rPr>
          <w:sz w:val="28"/>
          <w:szCs w:val="28"/>
        </w:rPr>
        <w:t>composizione organi societari (</w:t>
      </w:r>
      <w:proofErr w:type="spellStart"/>
      <w:r w:rsidR="008541A1">
        <w:rPr>
          <w:sz w:val="28"/>
          <w:szCs w:val="28"/>
        </w:rPr>
        <w:t>C.d.A.</w:t>
      </w:r>
      <w:proofErr w:type="spellEnd"/>
      <w:r w:rsidR="008541A1">
        <w:rPr>
          <w:sz w:val="28"/>
          <w:szCs w:val="28"/>
        </w:rPr>
        <w:t>, C</w:t>
      </w:r>
      <w:r w:rsidRPr="007A3BE5">
        <w:rPr>
          <w:sz w:val="28"/>
          <w:szCs w:val="28"/>
        </w:rPr>
        <w:t xml:space="preserve">ollegio sindacale,; 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proposte all’assemblea dei soci </w:t>
      </w:r>
      <w:r w:rsidR="007A3BE5" w:rsidRPr="007A3BE5">
        <w:rPr>
          <w:sz w:val="28"/>
          <w:szCs w:val="28"/>
        </w:rPr>
        <w:t xml:space="preserve">di </w:t>
      </w:r>
      <w:r w:rsidRPr="007A3BE5">
        <w:rPr>
          <w:sz w:val="28"/>
          <w:szCs w:val="28"/>
        </w:rPr>
        <w:t xml:space="preserve">operazioni aventi ad oggetto strumenti finanziari quotati; 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>modifica, rinuncia o revoca dell’incarico della società di revisione o informazioni rilevanti collegate alla sua attività;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situazioni consolidate patrimoniali, economico-finanziarie di periodo (consuntive e di budget); 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>situazioni civilistiche patrimoniali, economico- finanziarie di periodo (consuntive e di budget);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situazioni economiche di periodo (consuntive e di budget) per business area; - piani strategici consolidati; 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fusioni, scissioni e altre operazioni straordinarie; 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>messa in liquidazione o verificarsi di cause di liquidazione; - apertura e chiusura sedi societarie, filiali, società;</w:t>
      </w:r>
    </w:p>
    <w:p w:rsidR="007A3BE5" w:rsidRPr="007A3BE5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ristrutturazioni industriali con effetto su organizzazione, attività, posizione finanziaria, conto economico; </w:t>
      </w:r>
    </w:p>
    <w:p w:rsidR="009D7CEF" w:rsidRDefault="009D7CEF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acquisto, cessione o atti di disposizione di aziende, rami d’azienda, partecipazioni, o altri beni o attività;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>operazioni rilevanti e straordinarie sulla posizione finanziaria;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 partecipazione a progetti finanziati da soggetti pubblici, ottenimento di finanziamenti agevolati, contributi, sovvenzioni;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 insolvenza di importanti debitori;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revoca di linee di credito;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lastRenderedPageBreak/>
        <w:t>eventi catastrofici con impatto su fabbricati, impianti e merci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>perdite di esercizio di misura tale da intaccare in modo rilevante il patrimonio netto (</w:t>
      </w:r>
      <w:proofErr w:type="spellStart"/>
      <w:r w:rsidRPr="007A3BE5">
        <w:rPr>
          <w:sz w:val="28"/>
          <w:szCs w:val="28"/>
        </w:rPr>
        <w:t>es</w:t>
      </w:r>
      <w:proofErr w:type="spellEnd"/>
      <w:r w:rsidRPr="007A3BE5">
        <w:rPr>
          <w:sz w:val="28"/>
          <w:szCs w:val="28"/>
        </w:rPr>
        <w:t xml:space="preserve">: art. 2446 c.c.);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richiesta di ammissione a procedure concorsuali, presentazione di istanze o emanazione di provvedimenti di assoggettamento a procedure concorsuali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 rilevanti controversie legali e richieste di risarcimento danni;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 insorgere di responsabilità o di cause per danni ambientali; </w:t>
      </w:r>
    </w:p>
    <w:p w:rsidR="007A3BE5" w:rsidRDefault="007A3BE5" w:rsidP="00012014">
      <w:pPr>
        <w:pStyle w:val="Paragrafoelenco"/>
        <w:numPr>
          <w:ilvl w:val="0"/>
          <w:numId w:val="9"/>
        </w:num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 avvio di procedimenti giudiziari e provvedimenti aventi ad oggetto la società o suoi esponenti. </w:t>
      </w:r>
    </w:p>
    <w:p w:rsidR="007A3BE5" w:rsidRPr="007A3BE5" w:rsidRDefault="007A3BE5" w:rsidP="007A3BE5">
      <w:pPr>
        <w:spacing w:after="120"/>
        <w:jc w:val="both"/>
        <w:rPr>
          <w:sz w:val="28"/>
          <w:szCs w:val="28"/>
        </w:rPr>
      </w:pPr>
      <w:r w:rsidRPr="007A3BE5">
        <w:rPr>
          <w:sz w:val="28"/>
          <w:szCs w:val="28"/>
        </w:rPr>
        <w:t xml:space="preserve">Il Consiglio di Amministrazione della </w:t>
      </w:r>
      <w:proofErr w:type="spellStart"/>
      <w:r>
        <w:rPr>
          <w:sz w:val="28"/>
          <w:szCs w:val="28"/>
        </w:rPr>
        <w:t>E</w:t>
      </w:r>
      <w:r w:rsidR="008541A1">
        <w:rPr>
          <w:sz w:val="28"/>
          <w:szCs w:val="28"/>
        </w:rPr>
        <w:t>.</w:t>
      </w:r>
      <w:r>
        <w:rPr>
          <w:sz w:val="28"/>
          <w:szCs w:val="28"/>
        </w:rPr>
        <w:t>G</w:t>
      </w:r>
      <w:r w:rsidR="008541A1">
        <w:rPr>
          <w:sz w:val="28"/>
          <w:szCs w:val="28"/>
        </w:rPr>
        <w:t>.</w:t>
      </w:r>
      <w:r>
        <w:rPr>
          <w:sz w:val="28"/>
          <w:szCs w:val="28"/>
        </w:rPr>
        <w:t>U</w:t>
      </w:r>
      <w:r w:rsidR="008541A1">
        <w:rPr>
          <w:sz w:val="28"/>
          <w:szCs w:val="28"/>
        </w:rPr>
        <w:t>.</w:t>
      </w:r>
      <w:r>
        <w:rPr>
          <w:sz w:val="28"/>
          <w:szCs w:val="28"/>
        </w:rPr>
        <w:t>A</w:t>
      </w:r>
      <w:r w:rsidR="008541A1">
        <w:rPr>
          <w:sz w:val="28"/>
          <w:szCs w:val="28"/>
        </w:rPr>
        <w:t>.</w:t>
      </w:r>
      <w:proofErr w:type="spellEnd"/>
      <w:r>
        <w:rPr>
          <w:sz w:val="28"/>
          <w:szCs w:val="28"/>
        </w:rPr>
        <w:t xml:space="preserve"> s.r.l. </w:t>
      </w:r>
      <w:r w:rsidRPr="007A3BE5">
        <w:rPr>
          <w:sz w:val="28"/>
          <w:szCs w:val="28"/>
        </w:rPr>
        <w:t xml:space="preserve"> potrà disporre, qualora se ne ravvisi la necessità, ulteriori integrazioni dei suddetti “processi sensibili” definendo, se del caso, gli opportuni provvedimenti operativi.</w:t>
      </w:r>
    </w:p>
    <w:p w:rsidR="00466AA1" w:rsidRPr="00466AA1" w:rsidRDefault="007A3BE5" w:rsidP="00466AA1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</w:r>
      <w:r w:rsidR="00466AA1" w:rsidRPr="00466AA1">
        <w:rPr>
          <w:b/>
          <w:sz w:val="28"/>
          <w:szCs w:val="28"/>
        </w:rPr>
        <w:t xml:space="preserve">I CONTROLLI DELL’ODV </w:t>
      </w:r>
    </w:p>
    <w:p w:rsidR="00466AA1" w:rsidRDefault="00466AA1" w:rsidP="00466AA1">
      <w:pPr>
        <w:spacing w:after="120"/>
        <w:jc w:val="both"/>
        <w:rPr>
          <w:sz w:val="28"/>
          <w:szCs w:val="28"/>
        </w:rPr>
      </w:pPr>
      <w:r w:rsidRPr="00466AA1">
        <w:rPr>
          <w:sz w:val="28"/>
          <w:szCs w:val="28"/>
        </w:rPr>
        <w:t>I controlli dell’</w:t>
      </w:r>
      <w:proofErr w:type="spellStart"/>
      <w:r w:rsidRPr="00466AA1">
        <w:rPr>
          <w:sz w:val="28"/>
          <w:szCs w:val="28"/>
        </w:rPr>
        <w:t>O.d.V.</w:t>
      </w:r>
      <w:proofErr w:type="spellEnd"/>
      <w:r w:rsidRPr="00466AA1">
        <w:rPr>
          <w:sz w:val="28"/>
          <w:szCs w:val="28"/>
        </w:rPr>
        <w:t xml:space="preserve"> </w:t>
      </w:r>
      <w:bookmarkStart w:id="0" w:name="_GoBack"/>
      <w:bookmarkEnd w:id="0"/>
      <w:r w:rsidRPr="00466AA1">
        <w:rPr>
          <w:sz w:val="28"/>
          <w:szCs w:val="28"/>
        </w:rPr>
        <w:t xml:space="preserve">consistono in un’attività di analisi dei rischi reato ex </w:t>
      </w:r>
      <w:proofErr w:type="spellStart"/>
      <w:r w:rsidRPr="00466AA1">
        <w:rPr>
          <w:sz w:val="28"/>
          <w:szCs w:val="28"/>
        </w:rPr>
        <w:t>D.Lgs.</w:t>
      </w:r>
      <w:proofErr w:type="spellEnd"/>
      <w:r w:rsidRPr="00466AA1">
        <w:rPr>
          <w:sz w:val="28"/>
          <w:szCs w:val="28"/>
        </w:rPr>
        <w:t xml:space="preserve"> 231/2001 secondo quanto previsto nel presente Modello Organizzativo. A tal fine, all’</w:t>
      </w:r>
      <w:proofErr w:type="spellStart"/>
      <w:r w:rsidRPr="00466AA1">
        <w:rPr>
          <w:sz w:val="28"/>
          <w:szCs w:val="28"/>
        </w:rPr>
        <w:t>O.d.V.</w:t>
      </w:r>
      <w:proofErr w:type="spellEnd"/>
      <w:r w:rsidRPr="00466AA1">
        <w:rPr>
          <w:sz w:val="28"/>
          <w:szCs w:val="28"/>
        </w:rPr>
        <w:t xml:space="preserve"> viene garantito libero accesso a tutta la documentazione aziendale rilevante. Inoltre, l’</w:t>
      </w:r>
      <w:proofErr w:type="spellStart"/>
      <w:r w:rsidRPr="00466AA1">
        <w:rPr>
          <w:sz w:val="28"/>
          <w:szCs w:val="28"/>
        </w:rPr>
        <w:t>O.d.V.</w:t>
      </w:r>
      <w:proofErr w:type="spellEnd"/>
      <w:r w:rsidRPr="00466AA1">
        <w:rPr>
          <w:sz w:val="28"/>
          <w:szCs w:val="28"/>
        </w:rPr>
        <w:t xml:space="preserve">  può attivarsi con specifici controlli a seguito delle segnalazioni ricevute, secondo quanto riportato nella “Parte Generale”. Durante la propria attività l’</w:t>
      </w:r>
      <w:proofErr w:type="spellStart"/>
      <w:r w:rsidRPr="00466AA1">
        <w:rPr>
          <w:sz w:val="28"/>
          <w:szCs w:val="28"/>
        </w:rPr>
        <w:t>O</w:t>
      </w:r>
      <w:r w:rsidR="008541A1">
        <w:rPr>
          <w:sz w:val="28"/>
          <w:szCs w:val="28"/>
        </w:rPr>
        <w:t>.d.V.</w:t>
      </w:r>
      <w:proofErr w:type="spellEnd"/>
      <w:r w:rsidRPr="00466AA1">
        <w:rPr>
          <w:sz w:val="28"/>
          <w:szCs w:val="28"/>
        </w:rPr>
        <w:t xml:space="preserve"> dovrà mantenere la massima discrezione e riservatezza avendo come unici referenti gli Organi Sociali di cui alla “Parte Generale”.</w:t>
      </w:r>
    </w:p>
    <w:sectPr w:rsidR="00466AA1" w:rsidSect="00FE4D93">
      <w:footerReference w:type="default" r:id="rId8"/>
      <w:pgSz w:w="11906" w:h="16838"/>
      <w:pgMar w:top="1417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CF8" w:rsidRDefault="00F36CF8" w:rsidP="00FE4D93">
      <w:pPr>
        <w:spacing w:after="0" w:line="240" w:lineRule="auto"/>
      </w:pPr>
      <w:r>
        <w:separator/>
      </w:r>
    </w:p>
  </w:endnote>
  <w:endnote w:type="continuationSeparator" w:id="0">
    <w:p w:rsidR="00F36CF8" w:rsidRDefault="00F36CF8" w:rsidP="00FE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8273718"/>
      <w:docPartObj>
        <w:docPartGallery w:val="Page Numbers (Bottom of Page)"/>
        <w:docPartUnique/>
      </w:docPartObj>
    </w:sdtPr>
    <w:sdtEndPr>
      <w:rPr>
        <w:rFonts w:ascii="Calibri" w:hAnsi="Calibri"/>
        <w:sz w:val="24"/>
      </w:rPr>
    </w:sdtEndPr>
    <w:sdtContent>
      <w:p w:rsidR="00FE4D93" w:rsidRPr="00FE4D93" w:rsidRDefault="00D027FE">
        <w:pPr>
          <w:pStyle w:val="Pidipagina"/>
          <w:jc w:val="right"/>
          <w:rPr>
            <w:rFonts w:ascii="Calibri" w:hAnsi="Calibri"/>
            <w:sz w:val="24"/>
          </w:rPr>
        </w:pPr>
        <w:r w:rsidRPr="00FE4D93">
          <w:rPr>
            <w:rFonts w:ascii="Calibri" w:hAnsi="Calibri"/>
            <w:sz w:val="24"/>
          </w:rPr>
          <w:fldChar w:fldCharType="begin"/>
        </w:r>
        <w:r w:rsidR="00FE4D93" w:rsidRPr="00FE4D93">
          <w:rPr>
            <w:rFonts w:ascii="Calibri" w:hAnsi="Calibri"/>
            <w:sz w:val="24"/>
          </w:rPr>
          <w:instrText>PAGE   \* MERGEFORMAT</w:instrText>
        </w:r>
        <w:r w:rsidRPr="00FE4D93">
          <w:rPr>
            <w:rFonts w:ascii="Calibri" w:hAnsi="Calibri"/>
            <w:sz w:val="24"/>
          </w:rPr>
          <w:fldChar w:fldCharType="separate"/>
        </w:r>
        <w:r w:rsidR="008541A1">
          <w:rPr>
            <w:rFonts w:ascii="Calibri" w:hAnsi="Calibri"/>
            <w:noProof/>
            <w:sz w:val="24"/>
          </w:rPr>
          <w:t>7</w:t>
        </w:r>
        <w:r w:rsidRPr="00FE4D93">
          <w:rPr>
            <w:rFonts w:ascii="Calibri" w:hAnsi="Calibri"/>
            <w:sz w:val="24"/>
          </w:rPr>
          <w:fldChar w:fldCharType="end"/>
        </w:r>
      </w:p>
    </w:sdtContent>
  </w:sdt>
  <w:p w:rsidR="00FE4D93" w:rsidRDefault="00FE4D9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CF8" w:rsidRDefault="00F36CF8" w:rsidP="00FE4D93">
      <w:pPr>
        <w:spacing w:after="0" w:line="240" w:lineRule="auto"/>
      </w:pPr>
      <w:r>
        <w:separator/>
      </w:r>
    </w:p>
  </w:footnote>
  <w:footnote w:type="continuationSeparator" w:id="0">
    <w:p w:rsidR="00F36CF8" w:rsidRDefault="00F36CF8" w:rsidP="00FE4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E94"/>
    <w:multiLevelType w:val="hybridMultilevel"/>
    <w:tmpl w:val="48F68F5C"/>
    <w:lvl w:ilvl="0" w:tplc="5254C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6333"/>
    <w:multiLevelType w:val="hybridMultilevel"/>
    <w:tmpl w:val="E794C2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B0BF4"/>
    <w:multiLevelType w:val="hybridMultilevel"/>
    <w:tmpl w:val="65C256CC"/>
    <w:lvl w:ilvl="0" w:tplc="5254C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42BA2"/>
    <w:multiLevelType w:val="hybridMultilevel"/>
    <w:tmpl w:val="5E0C4CE4"/>
    <w:lvl w:ilvl="0" w:tplc="5254C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E39CA"/>
    <w:multiLevelType w:val="hybridMultilevel"/>
    <w:tmpl w:val="511ADB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A1170"/>
    <w:multiLevelType w:val="multilevel"/>
    <w:tmpl w:val="3C1698D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4A94FEF"/>
    <w:multiLevelType w:val="hybridMultilevel"/>
    <w:tmpl w:val="8AEAD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F4426"/>
    <w:multiLevelType w:val="hybridMultilevel"/>
    <w:tmpl w:val="412CB8D2"/>
    <w:lvl w:ilvl="0" w:tplc="5254C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83C17"/>
    <w:multiLevelType w:val="hybridMultilevel"/>
    <w:tmpl w:val="F5B6DCF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7A2"/>
    <w:rsid w:val="00006158"/>
    <w:rsid w:val="00012014"/>
    <w:rsid w:val="000251BA"/>
    <w:rsid w:val="00064ED8"/>
    <w:rsid w:val="000818F3"/>
    <w:rsid w:val="000A23FB"/>
    <w:rsid w:val="000B49EC"/>
    <w:rsid w:val="0014744A"/>
    <w:rsid w:val="001965E6"/>
    <w:rsid w:val="001A57A2"/>
    <w:rsid w:val="001C73B7"/>
    <w:rsid w:val="001F2906"/>
    <w:rsid w:val="002215DD"/>
    <w:rsid w:val="00226164"/>
    <w:rsid w:val="00265941"/>
    <w:rsid w:val="002B26C5"/>
    <w:rsid w:val="003036A2"/>
    <w:rsid w:val="00314B51"/>
    <w:rsid w:val="00344819"/>
    <w:rsid w:val="00345A51"/>
    <w:rsid w:val="003471BD"/>
    <w:rsid w:val="00354D69"/>
    <w:rsid w:val="003E46FD"/>
    <w:rsid w:val="00422E86"/>
    <w:rsid w:val="004316C0"/>
    <w:rsid w:val="00443E84"/>
    <w:rsid w:val="00466AA1"/>
    <w:rsid w:val="00467710"/>
    <w:rsid w:val="00476D47"/>
    <w:rsid w:val="0048394D"/>
    <w:rsid w:val="00485656"/>
    <w:rsid w:val="004F14F9"/>
    <w:rsid w:val="004F49B5"/>
    <w:rsid w:val="00521848"/>
    <w:rsid w:val="00584B6E"/>
    <w:rsid w:val="005922E5"/>
    <w:rsid w:val="00594B66"/>
    <w:rsid w:val="005A6753"/>
    <w:rsid w:val="005D014D"/>
    <w:rsid w:val="005E195E"/>
    <w:rsid w:val="00624D19"/>
    <w:rsid w:val="00626116"/>
    <w:rsid w:val="00666F9F"/>
    <w:rsid w:val="00670C83"/>
    <w:rsid w:val="006B4822"/>
    <w:rsid w:val="006D09E7"/>
    <w:rsid w:val="00704983"/>
    <w:rsid w:val="00724DF4"/>
    <w:rsid w:val="00726201"/>
    <w:rsid w:val="007519BB"/>
    <w:rsid w:val="00791441"/>
    <w:rsid w:val="00794406"/>
    <w:rsid w:val="007A3BE5"/>
    <w:rsid w:val="007D4EE2"/>
    <w:rsid w:val="008541A1"/>
    <w:rsid w:val="00855EE5"/>
    <w:rsid w:val="0086499D"/>
    <w:rsid w:val="00867E6A"/>
    <w:rsid w:val="00881DB3"/>
    <w:rsid w:val="00885F72"/>
    <w:rsid w:val="008B12A8"/>
    <w:rsid w:val="008B2456"/>
    <w:rsid w:val="008D1419"/>
    <w:rsid w:val="008D57DE"/>
    <w:rsid w:val="008F6F8E"/>
    <w:rsid w:val="0094736B"/>
    <w:rsid w:val="0099153A"/>
    <w:rsid w:val="009B0563"/>
    <w:rsid w:val="009B0BB0"/>
    <w:rsid w:val="009D7CEF"/>
    <w:rsid w:val="00A77245"/>
    <w:rsid w:val="00A77779"/>
    <w:rsid w:val="00A86158"/>
    <w:rsid w:val="00AA2EF2"/>
    <w:rsid w:val="00AC5293"/>
    <w:rsid w:val="00B66C63"/>
    <w:rsid w:val="00BB151A"/>
    <w:rsid w:val="00BC25DD"/>
    <w:rsid w:val="00BF5A42"/>
    <w:rsid w:val="00C1204E"/>
    <w:rsid w:val="00C423D6"/>
    <w:rsid w:val="00CA6389"/>
    <w:rsid w:val="00CD1A6A"/>
    <w:rsid w:val="00CF36A9"/>
    <w:rsid w:val="00D027FE"/>
    <w:rsid w:val="00D323B3"/>
    <w:rsid w:val="00D8498B"/>
    <w:rsid w:val="00DC2A47"/>
    <w:rsid w:val="00DC477E"/>
    <w:rsid w:val="00E202B9"/>
    <w:rsid w:val="00E25A2E"/>
    <w:rsid w:val="00E949D9"/>
    <w:rsid w:val="00F36CF8"/>
    <w:rsid w:val="00F469AE"/>
    <w:rsid w:val="00FB1673"/>
    <w:rsid w:val="00FB43C1"/>
    <w:rsid w:val="00FC3A15"/>
    <w:rsid w:val="00FC7328"/>
    <w:rsid w:val="00FD4BC4"/>
    <w:rsid w:val="00FE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D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65941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25A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22E8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6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E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D93"/>
  </w:style>
  <w:style w:type="paragraph" w:styleId="Pidipagina">
    <w:name w:val="footer"/>
    <w:basedOn w:val="Normale"/>
    <w:link w:val="PidipaginaCarattere"/>
    <w:uiPriority w:val="99"/>
    <w:unhideWhenUsed/>
    <w:rsid w:val="00FE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65941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25A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22E8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6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E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4D93"/>
  </w:style>
  <w:style w:type="paragraph" w:styleId="Pidipagina">
    <w:name w:val="footer"/>
    <w:basedOn w:val="Normale"/>
    <w:link w:val="PidipaginaCarattere"/>
    <w:uiPriority w:val="99"/>
    <w:unhideWhenUsed/>
    <w:rsid w:val="00FE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4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D6715-604C-4743-84C3-012C7730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nidielli</dc:creator>
  <cp:lastModifiedBy>Gianfranco</cp:lastModifiedBy>
  <cp:revision>2</cp:revision>
  <dcterms:created xsi:type="dcterms:W3CDTF">2016-10-27T15:33:00Z</dcterms:created>
  <dcterms:modified xsi:type="dcterms:W3CDTF">2016-10-27T15:33:00Z</dcterms:modified>
</cp:coreProperties>
</file>